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1740" w14:textId="7BC3AA63" w:rsidR="00487916" w:rsidRDefault="00EC49A6">
      <w:pPr>
        <w:pBdr>
          <w:bottom w:val="single" w:sz="8" w:space="0" w:color="C8A43A"/>
        </w:pBdr>
        <w:shd w:val="clear" w:color="auto" w:fill="1B3A6B"/>
        <w:jc w:val="center"/>
      </w:pPr>
      <w:r>
        <w:rPr>
          <w:b/>
          <w:bCs/>
          <w:color w:val="FFFFFF"/>
          <w:sz w:val="30"/>
          <w:szCs w:val="30"/>
        </w:rPr>
        <w:t>2026 AHVAP ANNUAL CONFERENCE</w:t>
      </w:r>
      <w:r w:rsidR="00021B6D">
        <w:rPr>
          <w:b/>
          <w:bCs/>
          <w:color w:val="FFFFFF"/>
          <w:sz w:val="30"/>
          <w:szCs w:val="30"/>
        </w:rPr>
        <w:t xml:space="preserve"> AND INDUSTRY PARTNER EXPO </w:t>
      </w:r>
    </w:p>
    <w:p w14:paraId="2886D6CE" w14:textId="77777777" w:rsidR="00487916" w:rsidRPr="00021B6D" w:rsidRDefault="00EC49A6">
      <w:pPr>
        <w:shd w:val="clear" w:color="auto" w:fill="1B3A6B"/>
        <w:spacing w:before="60" w:after="60"/>
        <w:jc w:val="center"/>
        <w:rPr>
          <w:color w:val="FFFFFF" w:themeColor="background1"/>
        </w:rPr>
      </w:pPr>
      <w:r w:rsidRPr="00021B6D">
        <w:rPr>
          <w:color w:val="FFFFFF" w:themeColor="background1"/>
          <w:sz w:val="20"/>
          <w:szCs w:val="20"/>
        </w:rPr>
        <w:t>Conference Attendance Justification — Joint Commission Accredited Hospitals</w:t>
      </w:r>
    </w:p>
    <w:p w14:paraId="57EB6D88" w14:textId="77777777" w:rsidR="00487916" w:rsidRDefault="00487916">
      <w:pPr>
        <w:spacing w:after="2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6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916" w14:paraId="5CB67C51" w14:textId="77777777">
        <w:tblPrEx>
          <w:tblCellMar>
            <w:top w:w="0" w:type="dxa"/>
          </w:tblCellMar>
        </w:tblPrEx>
        <w:tc>
          <w:tcPr>
            <w:tcW w:w="9360" w:type="dxa"/>
            <w:tcBorders>
              <w:top w:val="single" w:sz="6" w:space="0" w:color="8B1A1A"/>
              <w:left w:val="single" w:sz="6" w:space="0" w:color="8B1A1A"/>
              <w:bottom w:val="single" w:sz="6" w:space="0" w:color="8B1A1A"/>
              <w:right w:val="single" w:sz="6" w:space="0" w:color="8B1A1A"/>
            </w:tcBorders>
            <w:shd w:val="clear" w:color="auto" w:fill="FDEC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D5EC4B" w14:textId="77777777" w:rsidR="00487916" w:rsidRDefault="00EC49A6">
            <w:pPr>
              <w:spacing w:after="80"/>
            </w:pPr>
            <w:proofErr w:type="gramStart"/>
            <w:r>
              <w:rPr>
                <w:b/>
                <w:bCs/>
                <w:color w:val="8B1A1A"/>
              </w:rPr>
              <w:t>⚠</w:t>
            </w:r>
            <w:r>
              <w:rPr>
                <w:b/>
                <w:bCs/>
                <w:color w:val="8B1A1A"/>
              </w:rPr>
              <w:t xml:space="preserve">  NEW</w:t>
            </w:r>
            <w:proofErr w:type="gramEnd"/>
            <w:r>
              <w:rPr>
                <w:b/>
                <w:bCs/>
                <w:color w:val="8B1A1A"/>
              </w:rPr>
              <w:t xml:space="preserve"> JOINT COMMISSION REQUIREMENT — EFFECTIVE JANUARY 1, 2026</w:t>
            </w:r>
          </w:p>
          <w:p w14:paraId="12D6FD0C" w14:textId="77777777" w:rsidR="00487916" w:rsidRDefault="00EC49A6">
            <w:r>
              <w:rPr>
                <w:sz w:val="21"/>
                <w:szCs w:val="21"/>
              </w:rPr>
              <w:t>National Performance Goal 12 (NPG 12): Health Professional Resource Management now requires that Joint Commission-accredited hospitals demonstrate that nursing staff are competent to provide safe, quality care. Nurse staffing and competency validation are now formal accreditation requirements — not just internal best practices. Attendance at the 2026 AHVAP Annual Conference directly supports your organization's compliance with this mandate.</w:t>
            </w:r>
          </w:p>
        </w:tc>
      </w:tr>
    </w:tbl>
    <w:p w14:paraId="5FCC09CA" w14:textId="77777777" w:rsidR="00487916" w:rsidRDefault="00EC49A6">
      <w:pPr>
        <w:spacing w:after="200"/>
      </w:pPr>
      <w:r w:rsidRPr="00021B6D">
        <w:rPr>
          <w:highlight w:val="yellow"/>
        </w:rPr>
        <w:t>[Date]</w:t>
      </w:r>
    </w:p>
    <w:p w14:paraId="31A06679" w14:textId="77777777" w:rsidR="00487916" w:rsidRPr="00021B6D" w:rsidRDefault="00EC49A6">
      <w:pPr>
        <w:rPr>
          <w:highlight w:val="yellow"/>
        </w:rPr>
      </w:pPr>
      <w:r w:rsidRPr="00021B6D">
        <w:rPr>
          <w:highlight w:val="yellow"/>
        </w:rPr>
        <w:t>[Supervisor's Name]</w:t>
      </w:r>
    </w:p>
    <w:p w14:paraId="7187EC7F" w14:textId="77777777" w:rsidR="00487916" w:rsidRPr="00021B6D" w:rsidRDefault="00EC49A6">
      <w:pPr>
        <w:rPr>
          <w:highlight w:val="yellow"/>
        </w:rPr>
      </w:pPr>
      <w:r w:rsidRPr="00021B6D">
        <w:rPr>
          <w:highlight w:val="yellow"/>
        </w:rPr>
        <w:t>[Title]</w:t>
      </w:r>
    </w:p>
    <w:p w14:paraId="0688BB5A" w14:textId="77777777" w:rsidR="00487916" w:rsidRPr="00021B6D" w:rsidRDefault="00EC49A6">
      <w:pPr>
        <w:rPr>
          <w:highlight w:val="yellow"/>
        </w:rPr>
      </w:pPr>
      <w:r w:rsidRPr="00021B6D">
        <w:rPr>
          <w:highlight w:val="yellow"/>
        </w:rPr>
        <w:t>[Organization / Facility Name]</w:t>
      </w:r>
    </w:p>
    <w:p w14:paraId="46881EDF" w14:textId="77777777" w:rsidR="00487916" w:rsidRPr="00021B6D" w:rsidRDefault="00EC49A6">
      <w:pPr>
        <w:rPr>
          <w:highlight w:val="yellow"/>
        </w:rPr>
      </w:pPr>
      <w:r w:rsidRPr="00021B6D">
        <w:rPr>
          <w:highlight w:val="yellow"/>
        </w:rPr>
        <w:t>[Address]</w:t>
      </w:r>
    </w:p>
    <w:p w14:paraId="6F152D2C" w14:textId="77777777" w:rsidR="00487916" w:rsidRDefault="00EC49A6">
      <w:pPr>
        <w:spacing w:after="260"/>
      </w:pPr>
      <w:r w:rsidRPr="00021B6D">
        <w:rPr>
          <w:highlight w:val="yellow"/>
        </w:rPr>
        <w:t>[City, State, ZIP]</w:t>
      </w:r>
    </w:p>
    <w:p w14:paraId="1A72DADC" w14:textId="77777777" w:rsidR="00487916" w:rsidRDefault="00EC49A6">
      <w:pPr>
        <w:spacing w:after="240"/>
      </w:pPr>
      <w:r>
        <w:t xml:space="preserve">Dear </w:t>
      </w:r>
      <w:r w:rsidRPr="00021B6D">
        <w:rPr>
          <w:highlight w:val="yellow"/>
        </w:rPr>
        <w:t>[Supervisor's Name],</w:t>
      </w:r>
    </w:p>
    <w:p w14:paraId="4342F6B9" w14:textId="039A78DB" w:rsidR="00487916" w:rsidRDefault="00EC49A6">
      <w:pPr>
        <w:spacing w:after="220"/>
      </w:pPr>
      <w:r>
        <w:t xml:space="preserve">I am writing to respectfully request approval and funding to attend the </w:t>
      </w:r>
      <w:r>
        <w:rPr>
          <w:b/>
          <w:bCs/>
        </w:rPr>
        <w:t>2026 AHVAP Annual Conference</w:t>
      </w:r>
      <w:r>
        <w:t xml:space="preserve">, hosted by the Association for Healthcare Value Analysis Professionals. The conference is scheduled for </w:t>
      </w:r>
      <w:r w:rsidR="00021B6D" w:rsidRPr="00021B6D">
        <w:rPr>
          <w:b/>
          <w:bCs/>
          <w:color w:val="000000" w:themeColor="text1"/>
        </w:rPr>
        <w:t xml:space="preserve">October 5-8, </w:t>
      </w:r>
      <w:proofErr w:type="gramStart"/>
      <w:r w:rsidR="00021B6D" w:rsidRPr="00021B6D">
        <w:rPr>
          <w:b/>
          <w:bCs/>
          <w:color w:val="000000" w:themeColor="text1"/>
        </w:rPr>
        <w:t>2026</w:t>
      </w:r>
      <w:proofErr w:type="gramEnd"/>
      <w:r>
        <w:t xml:space="preserve"> in </w:t>
      </w:r>
      <w:r w:rsidR="00021B6D" w:rsidRPr="00021B6D">
        <w:rPr>
          <w:b/>
          <w:bCs/>
          <w:color w:val="000000" w:themeColor="text1"/>
        </w:rPr>
        <w:t>Grapevine, Texas</w:t>
      </w:r>
      <w:r>
        <w:t xml:space="preserve">. As a registered nurse practicing in the specialty of healthcare value analysis at a Joint Commission-accredited organization, I believe this request carries heightened urgency </w:t>
      </w:r>
      <w:r w:rsidR="00021B6D">
        <w:t>considering</w:t>
      </w:r>
      <w:r>
        <w:t xml:space="preserve"> a landmark new accreditation requirement that directly affects our hospital's compliance posture.</w:t>
      </w:r>
    </w:p>
    <w:p w14:paraId="7AFFF803" w14:textId="77777777" w:rsidR="00487916" w:rsidRDefault="00EC49A6">
      <w:pPr>
        <w:pStyle w:val="Heading2"/>
        <w:spacing w:before="260" w:after="120"/>
      </w:pPr>
      <w:r>
        <w:t>The New Joint Commission Requirement: National Performance Goal 12</w:t>
      </w:r>
    </w:p>
    <w:p w14:paraId="48DA7F01" w14:textId="25F92B67" w:rsidR="00487916" w:rsidRDefault="00EC49A6">
      <w:pPr>
        <w:spacing w:after="220"/>
      </w:pPr>
      <w:r>
        <w:t xml:space="preserve">Effective </w:t>
      </w:r>
      <w:r>
        <w:rPr>
          <w:b/>
          <w:bCs/>
        </w:rPr>
        <w:t>January 1, 2026</w:t>
      </w:r>
      <w:r>
        <w:t xml:space="preserve">, The Joint Commission implemented </w:t>
      </w:r>
      <w:r>
        <w:rPr>
          <w:b/>
          <w:bCs/>
        </w:rPr>
        <w:t>National Performance Goal 12 (NPG 12): Health Professional Resource Management</w:t>
      </w:r>
      <w:r>
        <w:t xml:space="preserve"> as part of its landmark "Accreditation 360" overhaul. This is the </w:t>
      </w:r>
      <w:r>
        <w:rPr>
          <w:b/>
          <w:bCs/>
        </w:rPr>
        <w:t>first time in The Joint Commission's history</w:t>
      </w:r>
      <w:r>
        <w:t xml:space="preserve"> that nurse staffing adequacy and competency validation have been elevated to a formal National Performance Goal</w:t>
      </w:r>
      <w:r w:rsidR="00021B6D">
        <w:t xml:space="preserve">, </w:t>
      </w:r>
      <w:proofErr w:type="gramStart"/>
      <w:r>
        <w:t>a standard surveyors</w:t>
      </w:r>
      <w:proofErr w:type="gramEnd"/>
      <w:r>
        <w:t xml:space="preserve"> are specifically instructed to evaluate during accreditation surveys.</w:t>
      </w:r>
    </w:p>
    <w:p w14:paraId="01472335" w14:textId="77777777" w:rsidR="00487916" w:rsidRDefault="00EC49A6">
      <w:pPr>
        <w:spacing w:after="220"/>
      </w:pPr>
      <w:r>
        <w:t>NPG 12 states: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0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000"/>
      </w:tblGrid>
      <w:tr w:rsidR="00487916" w14:paraId="2CCB344D" w14:textId="77777777">
        <w:tblPrEx>
          <w:tblCellMar>
            <w:top w:w="0" w:type="dxa"/>
          </w:tblCellMar>
        </w:tblPrEx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none" w:sz="0" w:space="0" w:color="FFFFFF"/>
            </w:tcBorders>
            <w:shd w:val="clear" w:color="auto" w:fill="1B3A6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5391" w14:textId="77777777" w:rsidR="00487916" w:rsidRDefault="00487916"/>
        </w:tc>
        <w:tc>
          <w:tcPr>
            <w:tcW w:w="90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37894B5" w14:textId="77777777" w:rsidR="00487916" w:rsidRDefault="00EC49A6">
            <w:pPr>
              <w:spacing w:after="60"/>
            </w:pPr>
            <w:r>
              <w:rPr>
                <w:i/>
                <w:iCs/>
                <w:color w:val="1B3A6B"/>
              </w:rPr>
              <w:t>"The hospital is staffed to meet the needs of the patients it serves, and staff are competent to provide safe, quality care."</w:t>
            </w:r>
          </w:p>
          <w:p w14:paraId="63ED971E" w14:textId="77777777" w:rsidR="00487916" w:rsidRDefault="00EC49A6">
            <w:r>
              <w:rPr>
                <w:color w:val="555555"/>
                <w:sz w:val="20"/>
                <w:szCs w:val="20"/>
              </w:rPr>
              <w:t>— The Joint Commission, National Performance Goal 12 (2026)</w:t>
            </w:r>
          </w:p>
        </w:tc>
      </w:tr>
    </w:tbl>
    <w:p w14:paraId="001F4E77" w14:textId="77777777" w:rsidR="00021B6D" w:rsidRDefault="00021B6D">
      <w:pPr>
        <w:spacing w:after="220"/>
      </w:pPr>
    </w:p>
    <w:p w14:paraId="0AA23A67" w14:textId="6302DE84" w:rsidR="00487916" w:rsidRDefault="00EC49A6">
      <w:pPr>
        <w:spacing w:after="220"/>
      </w:pPr>
      <w:r>
        <w:t>This goal carries significant implications for our organization. Under NPG 12, The Joint Commission now requires:</w:t>
      </w:r>
    </w:p>
    <w:p w14:paraId="0CA73F63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Documentation of nurse competency that is ongoing, validated, and aligned to each nurse's scope of practice and care environment</w:t>
      </w:r>
    </w:p>
    <w:p w14:paraId="073774C3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Verified skill mix and qualification evidence for every nurse assigned to patient care</w:t>
      </w:r>
    </w:p>
    <w:p w14:paraId="75870E5D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lastRenderedPageBreak/>
        <w:t>Nurse executive accountability for directing staffing plans and ensuring workforce readiness</w:t>
      </w:r>
    </w:p>
    <w:p w14:paraId="593F0875" w14:textId="64549A87" w:rsidR="00487916" w:rsidRDefault="00EC49A6">
      <w:pPr>
        <w:pStyle w:val="ListParagraph"/>
        <w:numPr>
          <w:ilvl w:val="0"/>
          <w:numId w:val="2"/>
        </w:numPr>
        <w:spacing w:after="80"/>
      </w:pPr>
      <w:r>
        <w:t xml:space="preserve">Evidence that education, training, and competency evaluations are actively maintained </w:t>
      </w:r>
      <w:r>
        <w:t>not only assessed at hire</w:t>
      </w:r>
    </w:p>
    <w:p w14:paraId="62346850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Integration of competency data into performance improvement activities and staffing decision-making</w:t>
      </w:r>
    </w:p>
    <w:p w14:paraId="0F92AFEA" w14:textId="77777777" w:rsidR="00487916" w:rsidRDefault="00487916">
      <w:pPr>
        <w:spacing w:after="120"/>
      </w:pPr>
    </w:p>
    <w:p w14:paraId="0973583D" w14:textId="77777777" w:rsidR="00487916" w:rsidRDefault="00EC49A6">
      <w:pPr>
        <w:spacing w:after="220"/>
      </w:pPr>
      <w:r>
        <w:t xml:space="preserve">Critically, because Joint Commission accreditation grants our hospital </w:t>
      </w:r>
      <w:r>
        <w:rPr>
          <w:b/>
          <w:bCs/>
        </w:rPr>
        <w:t>"deemed status"</w:t>
      </w:r>
      <w:r>
        <w:t xml:space="preserve"> under CMS Conditions of Participation, failure to meet NPG 12 could jeopardize not only our accreditation but also our </w:t>
      </w:r>
      <w:r>
        <w:rPr>
          <w:b/>
          <w:bCs/>
        </w:rPr>
        <w:t>Medicare and Medicaid reimbursement eligibility</w:t>
      </w:r>
      <w:r>
        <w:t>. This elevates NPG 12 from an internal quality concern to an immediate institutional and financial risk.</w:t>
      </w:r>
    </w:p>
    <w:p w14:paraId="290CC06D" w14:textId="77777777" w:rsidR="00487916" w:rsidRDefault="00EC49A6">
      <w:pPr>
        <w:pStyle w:val="Heading2"/>
        <w:spacing w:before="260" w:after="120"/>
      </w:pPr>
      <w:r>
        <w:t>Healthcare Value Analysis as a Registered Nursing Specialty</w:t>
      </w:r>
    </w:p>
    <w:p w14:paraId="693EEC23" w14:textId="2E5C6FA8" w:rsidR="00487916" w:rsidRDefault="00EC49A6">
      <w:pPr>
        <w:spacing w:after="220"/>
      </w:pPr>
      <w:r>
        <w:t>As an RN practicing</w:t>
      </w:r>
      <w:r w:rsidR="00021B6D">
        <w:t xml:space="preserve"> </w:t>
      </w:r>
      <w:r w:rsidR="00021B6D" w:rsidRPr="00021B6D">
        <w:rPr>
          <w:highlight w:val="yellow"/>
        </w:rPr>
        <w:t>and board certified [removed if not CVAHP board certified)</w:t>
      </w:r>
      <w:r>
        <w:t xml:space="preserve"> in the specialty of healthcare value analysis, my role is inherently clinical. Value analysis nurses apply nursing knowledge, clinical judgment, and evidence-based practice to evaluate products, technologies, and supplies that directly impact patient care outcomes, infection prevention, and clinical safety. This requires continuous, specialty-specific education and competency development that is </w:t>
      </w:r>
      <w:r w:rsidR="00021B6D" w:rsidRPr="00021B6D">
        <w:rPr>
          <w:b/>
          <w:bCs/>
          <w:u w:val="single"/>
        </w:rPr>
        <w:t>NOT</w:t>
      </w:r>
      <w:r>
        <w:t xml:space="preserve"> routinely available through general hospital in-service training.</w:t>
      </w:r>
    </w:p>
    <w:p w14:paraId="2DF5F30D" w14:textId="77777777" w:rsidR="00487916" w:rsidRDefault="00EC49A6">
      <w:pPr>
        <w:spacing w:after="220"/>
      </w:pPr>
      <w:r>
        <w:t>Specific competencies I must maintain to practice effectively in this specialty include:</w:t>
      </w:r>
    </w:p>
    <w:p w14:paraId="4F7A089F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Clinical evaluation of medical devices and supplies for safety, efficacy, and patient risk</w:t>
      </w:r>
    </w:p>
    <w:p w14:paraId="17A99FDE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Evidence-based research and literature review skills applied to product assessment</w:t>
      </w:r>
    </w:p>
    <w:p w14:paraId="6166D4E6" w14:textId="777B2E40" w:rsidR="00487916" w:rsidRDefault="00EC49A6">
      <w:pPr>
        <w:pStyle w:val="ListParagraph"/>
        <w:numPr>
          <w:ilvl w:val="0"/>
          <w:numId w:val="2"/>
        </w:numPr>
        <w:spacing w:after="80"/>
      </w:pPr>
      <w:r>
        <w:t xml:space="preserve">Understanding of regulatory and compliance requirements governing supply chain decisions (FDA, CMS, </w:t>
      </w:r>
      <w:r w:rsidR="00021B6D">
        <w:t xml:space="preserve">OSHA, </w:t>
      </w:r>
      <w:r>
        <w:t>TJC</w:t>
      </w:r>
      <w:r w:rsidR="00021B6D">
        <w:t>, DNV, AAAHC, etc.</w:t>
      </w:r>
      <w:r>
        <w:t>)</w:t>
      </w:r>
    </w:p>
    <w:p w14:paraId="41025FCF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Knowledge of infection prevention principles as they relate to product selection and standardization</w:t>
      </w:r>
    </w:p>
    <w:p w14:paraId="13226364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Healthcare economics, contract analysis, and total cost of care methodology</w:t>
      </w:r>
    </w:p>
    <w:p w14:paraId="294BA8FA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Value analysis committee facilitation and stakeholder engagement strategies</w:t>
      </w:r>
    </w:p>
    <w:p w14:paraId="569E5AC2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>
        <w:t>Quality improvement and patient safety frameworks applied to supply and product decisions</w:t>
      </w:r>
    </w:p>
    <w:p w14:paraId="140C9973" w14:textId="77777777" w:rsidR="00487916" w:rsidRDefault="00487916">
      <w:pPr>
        <w:spacing w:after="120"/>
      </w:pPr>
    </w:p>
    <w:p w14:paraId="42678381" w14:textId="29E86561" w:rsidR="00487916" w:rsidRDefault="00EC49A6">
      <w:pPr>
        <w:spacing w:after="220"/>
      </w:pPr>
      <w:r>
        <w:t xml:space="preserve">These competencies are </w:t>
      </w:r>
      <w:r>
        <w:rPr>
          <w:b/>
          <w:bCs/>
        </w:rPr>
        <w:t>specialty-specific</w:t>
      </w:r>
      <w:r>
        <w:t xml:space="preserve"> and require ongoing education from subject matter experts in the field. The 2026 AHVAP Annual Conference</w:t>
      </w:r>
      <w:r w:rsidR="00021B6D">
        <w:t xml:space="preserve"> and Industry Partner Expo</w:t>
      </w:r>
      <w:r>
        <w:t xml:space="preserve"> is the </w:t>
      </w:r>
      <w:r>
        <w:rPr>
          <w:b/>
          <w:bCs/>
        </w:rPr>
        <w:t xml:space="preserve">only national-level </w:t>
      </w:r>
      <w:r w:rsidR="00021B6D">
        <w:rPr>
          <w:b/>
          <w:bCs/>
        </w:rPr>
        <w:t xml:space="preserve">accredited </w:t>
      </w:r>
      <w:r>
        <w:rPr>
          <w:b/>
          <w:bCs/>
        </w:rPr>
        <w:t>educational event</w:t>
      </w:r>
      <w:r>
        <w:t xml:space="preserve"> dedicated exclusively to this specialty — making it the most targeted and efficient mechanism for fulfilling my NPG 12 competency maintenance obligations.</w:t>
      </w:r>
    </w:p>
    <w:p w14:paraId="5DAF80CD" w14:textId="77777777" w:rsidR="00021B6D" w:rsidRDefault="00021B6D">
      <w:pPr>
        <w:pStyle w:val="Heading2"/>
        <w:spacing w:before="260" w:after="120"/>
      </w:pPr>
    </w:p>
    <w:p w14:paraId="15FD8989" w14:textId="77777777" w:rsidR="00021B6D" w:rsidRDefault="00021B6D">
      <w:pPr>
        <w:pStyle w:val="Heading2"/>
        <w:spacing w:before="260" w:after="120"/>
      </w:pPr>
    </w:p>
    <w:p w14:paraId="0CDB712D" w14:textId="77777777" w:rsidR="00021B6D" w:rsidRDefault="00021B6D">
      <w:pPr>
        <w:pStyle w:val="Heading2"/>
        <w:spacing w:before="260" w:after="120"/>
      </w:pPr>
    </w:p>
    <w:p w14:paraId="3E760DEB" w14:textId="77777777" w:rsidR="00021B6D" w:rsidRDefault="00021B6D">
      <w:pPr>
        <w:pStyle w:val="Heading2"/>
        <w:spacing w:before="260" w:after="120"/>
      </w:pPr>
    </w:p>
    <w:p w14:paraId="182CC495" w14:textId="5476B843" w:rsidR="00487916" w:rsidRDefault="00EC49A6">
      <w:pPr>
        <w:pStyle w:val="Heading2"/>
        <w:spacing w:before="260" w:after="120"/>
      </w:pPr>
      <w:r>
        <w:lastRenderedPageBreak/>
        <w:t>How the 2026 AHVAP Annual Conference</w:t>
      </w:r>
      <w:r w:rsidR="00021B6D">
        <w:t xml:space="preserve"> and Industry Partner Expo</w:t>
      </w:r>
      <w:r>
        <w:t xml:space="preserve"> Directly Supports NPG 12 Compliance</w:t>
      </w:r>
    </w:p>
    <w:p w14:paraId="087E3E02" w14:textId="3D059CCD" w:rsidR="00487916" w:rsidRDefault="00EC49A6">
      <w:pPr>
        <w:spacing w:after="220"/>
      </w:pPr>
      <w:r>
        <w:t>Attendance at the 2026 AHVAP Annual Conference</w:t>
      </w:r>
      <w:r w:rsidR="00021B6D">
        <w:t xml:space="preserve"> and Industry Partner Expo</w:t>
      </w:r>
      <w:r>
        <w:t xml:space="preserve"> provides documented, structured, specialty-specific education that directly addresses each dimension of NPG 12 as it applies to my nursing role: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487916" w14:paraId="6D80843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6E1D76D7" w14:textId="77777777" w:rsidR="00487916" w:rsidRDefault="00EC49A6">
            <w:r>
              <w:rPr>
                <w:b/>
                <w:bCs/>
                <w:color w:val="FFFFFF"/>
                <w:sz w:val="20"/>
                <w:szCs w:val="20"/>
              </w:rPr>
              <w:t>NPG 12 Requirement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B650512" w14:textId="77777777" w:rsidR="00487916" w:rsidRDefault="00EC49A6">
            <w:r>
              <w:rPr>
                <w:b/>
                <w:bCs/>
                <w:color w:val="FFFFFF"/>
                <w:sz w:val="20"/>
                <w:szCs w:val="20"/>
              </w:rPr>
              <w:t>How AHVAP Annual Conference Fulfills This Requirement</w:t>
            </w:r>
          </w:p>
        </w:tc>
      </w:tr>
      <w:tr w:rsidR="00487916" w14:paraId="6049695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65C20FE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Verified, ongoing competency validation for each nurse's scope of practice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476A9E58" w14:textId="77777777" w:rsidR="00487916" w:rsidRDefault="00EC49A6">
            <w:r>
              <w:rPr>
                <w:sz w:val="20"/>
                <w:szCs w:val="20"/>
              </w:rPr>
              <w:t>Conference sessions deliver structured, documented CEU-bearing education specific to healthcare value analysis nursing — creating a verifiable competency record tied directly to my specialty scope of practice.</w:t>
            </w:r>
          </w:p>
        </w:tc>
      </w:tr>
      <w:tr w:rsidR="00487916" w14:paraId="56F0314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B5BF4FD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Evidence of education and training in staff competency evaluations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1D296CF" w14:textId="77777777" w:rsidR="00487916" w:rsidRDefault="00EC49A6">
            <w:r>
              <w:rPr>
                <w:sz w:val="20"/>
                <w:szCs w:val="20"/>
              </w:rPr>
              <w:t>Certificate of attendance and CEU documentation from AHVAP provide tangible evidence of formal education that can be included in my competency file and performance review documentation.</w:t>
            </w:r>
          </w:p>
        </w:tc>
      </w:tr>
      <w:tr w:rsidR="00487916" w14:paraId="72B5E66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579F65D4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Skill mix and qualification evidence aligned to care delivery role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9126B95" w14:textId="77777777" w:rsidR="00487916" w:rsidRDefault="00EC49A6">
            <w:r>
              <w:rPr>
                <w:sz w:val="20"/>
                <w:szCs w:val="20"/>
              </w:rPr>
              <w:t>Specialty education in product evaluation, clinical device safety, and evidence-based supply decisions directly validates my qualifications for the clinical dimensions of my value analysis role.</w:t>
            </w:r>
          </w:p>
        </w:tc>
      </w:tr>
      <w:tr w:rsidR="00487916" w14:paraId="7BC2C3E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4753FA5E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Competency as a factor in performance improvement activities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BB8CDF9" w14:textId="2A89E80C" w:rsidR="00487916" w:rsidRDefault="00EC49A6">
            <w:r>
              <w:rPr>
                <w:sz w:val="20"/>
                <w:szCs w:val="20"/>
              </w:rPr>
              <w:t>AHVAP sessions provide current knowledge of quality improvement methodologies, outcome measurement, and supply chain safety data</w:t>
            </w:r>
            <w:r w:rsidR="00021B6D">
              <w:rPr>
                <w:sz w:val="20"/>
                <w:szCs w:val="20"/>
              </w:rPr>
              <w:t xml:space="preserve">, which are </w:t>
            </w:r>
            <w:r>
              <w:rPr>
                <w:sz w:val="20"/>
                <w:szCs w:val="20"/>
              </w:rPr>
              <w:t>competencies directly applicable to our hospital's PI program.</w:t>
            </w:r>
          </w:p>
        </w:tc>
      </w:tr>
      <w:tr w:rsidR="00487916" w14:paraId="12E0F43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9E1D405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Nurse executive visibility into workforce competency and readiness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678FCE0F" w14:textId="62B3101A" w:rsidR="00487916" w:rsidRDefault="00EC49A6">
            <w:r>
              <w:rPr>
                <w:sz w:val="20"/>
                <w:szCs w:val="20"/>
              </w:rPr>
              <w:t>Post-conference deliverables</w:t>
            </w:r>
            <w:r w:rsidR="00021B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including a team debrief, action plan, and competency documentation</w:t>
            </w:r>
            <w:r w:rsidR="00021B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provide our nurse executive with direct evidence of staff development and readiness in our specialty.</w:t>
            </w:r>
          </w:p>
        </w:tc>
      </w:tr>
    </w:tbl>
    <w:p w14:paraId="5B067305" w14:textId="77777777" w:rsidR="00487916" w:rsidRDefault="00487916">
      <w:pPr>
        <w:spacing w:after="220"/>
      </w:pPr>
    </w:p>
    <w:p w14:paraId="21775CC3" w14:textId="77777777" w:rsidR="00487916" w:rsidRDefault="00EC49A6">
      <w:pPr>
        <w:pStyle w:val="Heading2"/>
        <w:spacing w:before="260" w:after="120"/>
      </w:pPr>
      <w:r>
        <w:t>Organizational Benefits Beyond Compliance</w:t>
      </w:r>
    </w:p>
    <w:p w14:paraId="7B2E656D" w14:textId="77777777" w:rsidR="00487916" w:rsidRDefault="00EC49A6">
      <w:pPr>
        <w:spacing w:after="220"/>
      </w:pPr>
      <w:r>
        <w:t>In addition to directly supporting NPG 12 compliance, my attendance at the 2026 AHVAP Annual Conference will deliver measurable organizational benefits:</w:t>
      </w:r>
    </w:p>
    <w:p w14:paraId="3DF5F677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 w:rsidRPr="00021B6D">
        <w:rPr>
          <w:b/>
          <w:bCs/>
        </w:rPr>
        <w:t>Cost Savings Identification</w:t>
      </w:r>
      <w:r>
        <w:t>: Actionable product standardization and value analysis strategies with direct financial impact to our supply budget</w:t>
      </w:r>
    </w:p>
    <w:p w14:paraId="1FFD146A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 w:rsidRPr="00021B6D">
        <w:rPr>
          <w:b/>
          <w:bCs/>
        </w:rPr>
        <w:t xml:space="preserve">Regulatory Currency: </w:t>
      </w:r>
      <w:r>
        <w:t>Up-to-date knowledge of accreditation, FDA, and CMS requirements affecting our value analysis program</w:t>
      </w:r>
    </w:p>
    <w:p w14:paraId="4B04F089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 w:rsidRPr="00021B6D">
        <w:rPr>
          <w:b/>
          <w:bCs/>
        </w:rPr>
        <w:t xml:space="preserve">Network &amp; Benchmarking: </w:t>
      </w:r>
      <w:r>
        <w:t>Access to peer professionals at comparable institutions to benchmark practices, share solutions, and identify improvement opportunities</w:t>
      </w:r>
    </w:p>
    <w:p w14:paraId="178CA34B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 w:rsidRPr="00021B6D">
        <w:rPr>
          <w:b/>
          <w:bCs/>
        </w:rPr>
        <w:t>Team Knowledge Multiplication:</w:t>
      </w:r>
      <w:r>
        <w:t xml:space="preserve"> A formal post-conference debrief will extend learning to our entire value analysis committee and supply chain leadership team</w:t>
      </w:r>
    </w:p>
    <w:p w14:paraId="096140D4" w14:textId="77777777" w:rsidR="00487916" w:rsidRDefault="00EC49A6">
      <w:pPr>
        <w:pStyle w:val="ListParagraph"/>
        <w:numPr>
          <w:ilvl w:val="0"/>
          <w:numId w:val="2"/>
        </w:numPr>
        <w:spacing w:after="80"/>
      </w:pPr>
      <w:r w:rsidRPr="00021B6D">
        <w:rPr>
          <w:b/>
          <w:bCs/>
        </w:rPr>
        <w:t>Professional Retention:</w:t>
      </w:r>
      <w:r>
        <w:t xml:space="preserve"> Investment in specialty-specific professional development supports job satisfaction and reduces turnover risk in a specialized, hard-to-replace role</w:t>
      </w:r>
    </w:p>
    <w:p w14:paraId="7300AA8D" w14:textId="77777777" w:rsidR="00487916" w:rsidRDefault="00487916">
      <w:pPr>
        <w:spacing w:after="120"/>
      </w:pPr>
    </w:p>
    <w:p w14:paraId="7B9BE37F" w14:textId="77777777" w:rsidR="00487916" w:rsidRDefault="00EC49A6">
      <w:pPr>
        <w:pStyle w:val="Heading2"/>
        <w:spacing w:before="260" w:after="120"/>
      </w:pPr>
      <w:r>
        <w:lastRenderedPageBreak/>
        <w:t>Estimated Attendance Costs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960"/>
      </w:tblGrid>
      <w:tr w:rsidR="00487916" w14:paraId="1C0C04C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37E24" w14:textId="77777777" w:rsidR="00487916" w:rsidRDefault="00EC49A6">
            <w:r>
              <w:rPr>
                <w:b/>
                <w:bCs/>
                <w:color w:val="FFFFFF"/>
                <w:sz w:val="20"/>
                <w:szCs w:val="20"/>
              </w:rPr>
              <w:t>Expense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B006C" w14:textId="77777777" w:rsidR="00487916" w:rsidRDefault="00EC49A6">
            <w:r>
              <w:rPr>
                <w:b/>
                <w:bCs/>
                <w:color w:val="FFFFFF"/>
                <w:sz w:val="20"/>
                <w:szCs w:val="20"/>
              </w:rPr>
              <w:t>Estimated Amount</w:t>
            </w:r>
          </w:p>
        </w:tc>
      </w:tr>
      <w:tr w:rsidR="00487916" w14:paraId="6C2B656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116F3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Conference Registration Fee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A2006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239F924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E682D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Travel (Airfare / Mileage)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F69EE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768283D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C4859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Hotel Accommodations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56E6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1717B15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93B48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Meals &amp; Per Diem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40103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4412815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B7455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Ground Transportation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AA1EC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686C5B9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82C89" w14:textId="77777777" w:rsidR="00487916" w:rsidRPr="00021B6D" w:rsidRDefault="00EC49A6">
            <w:pPr>
              <w:rPr>
                <w:b/>
                <w:bCs/>
              </w:rPr>
            </w:pPr>
            <w:r w:rsidRPr="00021B6D">
              <w:rPr>
                <w:b/>
                <w:bCs/>
                <w:sz w:val="20"/>
                <w:szCs w:val="20"/>
              </w:rPr>
              <w:t>Other / Miscellaneous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1385F" w14:textId="77777777" w:rsidR="00487916" w:rsidRDefault="00EC49A6">
            <w:r>
              <w:rPr>
                <w:sz w:val="20"/>
                <w:szCs w:val="20"/>
              </w:rPr>
              <w:t>[$ Amount]</w:t>
            </w:r>
          </w:p>
        </w:tc>
      </w:tr>
      <w:tr w:rsidR="00487916" w14:paraId="0A2960A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8A4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3A4B3" w14:textId="77777777" w:rsidR="00487916" w:rsidRDefault="00EC49A6">
            <w:r>
              <w:rPr>
                <w:b/>
                <w:bCs/>
                <w:color w:val="1B3A6B"/>
                <w:sz w:val="20"/>
                <w:szCs w:val="20"/>
              </w:rPr>
              <w:t>TOTAL ESTIMATED COST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8A4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23ADF" w14:textId="77777777" w:rsidR="00487916" w:rsidRDefault="00EC49A6">
            <w:r>
              <w:rPr>
                <w:b/>
                <w:bCs/>
                <w:color w:val="1B3A6B"/>
                <w:sz w:val="20"/>
                <w:szCs w:val="20"/>
              </w:rPr>
              <w:t>[$ Total]</w:t>
            </w:r>
          </w:p>
        </w:tc>
      </w:tr>
    </w:tbl>
    <w:p w14:paraId="5216DFB7" w14:textId="77777777" w:rsidR="00487916" w:rsidRDefault="00EC49A6">
      <w:pPr>
        <w:pStyle w:val="Heading2"/>
        <w:spacing w:before="260" w:after="120"/>
      </w:pPr>
      <w:r>
        <w:t>My Commitment to Our Organization</w:t>
      </w:r>
    </w:p>
    <w:p w14:paraId="5291486B" w14:textId="77777777" w:rsidR="00487916" w:rsidRDefault="00EC49A6">
      <w:pPr>
        <w:spacing w:after="220"/>
      </w:pPr>
      <w:r>
        <w:t>I am committed to maximizing the return on this investment. Upon returning from the 2026 AHVAP Annual Conference, I will:</w:t>
      </w:r>
    </w:p>
    <w:p w14:paraId="2A942204" w14:textId="77777777" w:rsidR="00487916" w:rsidRDefault="00EC49A6">
      <w:pPr>
        <w:pStyle w:val="ListParagraph"/>
        <w:numPr>
          <w:ilvl w:val="0"/>
          <w:numId w:val="3"/>
        </w:numPr>
        <w:spacing w:after="80"/>
      </w:pPr>
      <w:r>
        <w:t>Provide a formal post-conference debrief presentation for our value analysis committee and clinical leadership team</w:t>
      </w:r>
    </w:p>
    <w:p w14:paraId="0FE9B192" w14:textId="77777777" w:rsidR="00487916" w:rsidRDefault="00EC49A6">
      <w:pPr>
        <w:pStyle w:val="ListParagraph"/>
        <w:numPr>
          <w:ilvl w:val="0"/>
          <w:numId w:val="3"/>
        </w:numPr>
        <w:spacing w:after="80"/>
      </w:pPr>
      <w:r>
        <w:t>Compile a written summary of key learnings and action items relevant to our organization's current initiatives</w:t>
      </w:r>
    </w:p>
    <w:p w14:paraId="134DF7C6" w14:textId="77777777" w:rsidR="00487916" w:rsidRDefault="00EC49A6">
      <w:pPr>
        <w:pStyle w:val="ListParagraph"/>
        <w:numPr>
          <w:ilvl w:val="0"/>
          <w:numId w:val="3"/>
        </w:numPr>
        <w:spacing w:after="80"/>
      </w:pPr>
      <w:r>
        <w:t>Apply new competencies immediately to ongoing product evaluations, standardization projects, and committee processes</w:t>
      </w:r>
    </w:p>
    <w:p w14:paraId="31271037" w14:textId="77777777" w:rsidR="00487916" w:rsidRDefault="00EC49A6">
      <w:pPr>
        <w:pStyle w:val="ListParagraph"/>
        <w:numPr>
          <w:ilvl w:val="0"/>
          <w:numId w:val="3"/>
        </w:numPr>
        <w:spacing w:after="80"/>
      </w:pPr>
      <w:r>
        <w:t>Document conference-based continuing education in my professional competency record in support of NPG 12 compliance requirements</w:t>
      </w:r>
    </w:p>
    <w:p w14:paraId="7236CF66" w14:textId="2FD140AC" w:rsidR="00487916" w:rsidRDefault="00EC49A6" w:rsidP="00021B6D">
      <w:pPr>
        <w:pStyle w:val="ListParagraph"/>
        <w:numPr>
          <w:ilvl w:val="0"/>
          <w:numId w:val="3"/>
        </w:numPr>
        <w:spacing w:after="80"/>
      </w:pPr>
      <w:r>
        <w:t>Share all conference materials, session resources, and networking contacts with our broader team</w:t>
      </w:r>
    </w:p>
    <w:p w14:paraId="3BBF640E" w14:textId="77777777" w:rsidR="00487916" w:rsidRDefault="00EC49A6">
      <w:pPr>
        <w:spacing w:after="220"/>
      </w:pPr>
      <w:r>
        <w:t>G</w:t>
      </w:r>
      <w:r>
        <w:t xml:space="preserve">iven the direct alignment between the 2026 AHVAP Annual Conference and The Joint Commission's new NPG 12 requirements, I believe this is not only a sound professional development investment, but a </w:t>
      </w:r>
      <w:r>
        <w:rPr>
          <w:b/>
          <w:bCs/>
        </w:rPr>
        <w:t>compliance-aligned organizational priority</w:t>
      </w:r>
      <w:r>
        <w:t>. I would welcome the opportunity to discuss this request further at your convenience.</w:t>
      </w:r>
    </w:p>
    <w:p w14:paraId="7A503C02" w14:textId="09AAD8D6" w:rsidR="00487916" w:rsidRDefault="00EC49A6" w:rsidP="00021B6D">
      <w:pPr>
        <w:spacing w:after="220"/>
      </w:pPr>
      <w:r>
        <w:t>Thank you sincerely for your consideration and your continued support of my professional growth and our organization's commitment to accreditation excellence.</w:t>
      </w:r>
    </w:p>
    <w:p w14:paraId="7215104E" w14:textId="5E147ABA" w:rsidR="00021B6D" w:rsidRDefault="00EC49A6" w:rsidP="00021B6D">
      <w:r>
        <w:t>Respec</w:t>
      </w:r>
      <w:r w:rsidR="00021B6D">
        <w:t>t</w:t>
      </w:r>
      <w:r>
        <w:t>fully,</w:t>
      </w:r>
    </w:p>
    <w:p w14:paraId="28B90C2A" w14:textId="77777777" w:rsidR="00021B6D" w:rsidRDefault="00021B6D" w:rsidP="00021B6D"/>
    <w:p w14:paraId="6EF79278" w14:textId="2A259682" w:rsidR="00487916" w:rsidRPr="00021B6D" w:rsidRDefault="00EC49A6" w:rsidP="00021B6D">
      <w:r w:rsidRPr="00021B6D">
        <w:rPr>
          <w:highlight w:val="yellow"/>
        </w:rPr>
        <w:t>[Your Full Name], RN, [Credentials]</w:t>
      </w:r>
    </w:p>
    <w:p w14:paraId="2ABAEB46" w14:textId="77777777" w:rsidR="00487916" w:rsidRPr="00021B6D" w:rsidRDefault="00EC49A6" w:rsidP="00021B6D">
      <w:pPr>
        <w:rPr>
          <w:highlight w:val="yellow"/>
        </w:rPr>
      </w:pPr>
      <w:r w:rsidRPr="00021B6D">
        <w:rPr>
          <w:highlight w:val="yellow"/>
        </w:rPr>
        <w:t>[Your Title]</w:t>
      </w:r>
    </w:p>
    <w:p w14:paraId="5FE0A2A3" w14:textId="77777777" w:rsidR="00487916" w:rsidRPr="00021B6D" w:rsidRDefault="00EC49A6" w:rsidP="00021B6D">
      <w:pPr>
        <w:rPr>
          <w:highlight w:val="yellow"/>
        </w:rPr>
      </w:pPr>
      <w:r w:rsidRPr="00021B6D">
        <w:rPr>
          <w:highlight w:val="yellow"/>
        </w:rPr>
        <w:t>[Department / Value Analysis Program]</w:t>
      </w:r>
    </w:p>
    <w:p w14:paraId="47CC289F" w14:textId="77777777" w:rsidR="00487916" w:rsidRPr="00021B6D" w:rsidRDefault="00EC49A6" w:rsidP="00021B6D">
      <w:pPr>
        <w:rPr>
          <w:highlight w:val="yellow"/>
        </w:rPr>
      </w:pPr>
      <w:r w:rsidRPr="00021B6D">
        <w:rPr>
          <w:highlight w:val="yellow"/>
        </w:rPr>
        <w:t>[Organization / Facility Name]</w:t>
      </w:r>
    </w:p>
    <w:p w14:paraId="6AA2755A" w14:textId="6CC97E86" w:rsidR="00487916" w:rsidRDefault="00EC49A6" w:rsidP="00021B6D">
      <w:pPr>
        <w:rPr>
          <w:highlight w:val="yellow"/>
        </w:rPr>
      </w:pPr>
      <w:r w:rsidRPr="00021B6D">
        <w:rPr>
          <w:highlight w:val="yellow"/>
        </w:rPr>
        <w:t>[Phone Number]</w:t>
      </w:r>
    </w:p>
    <w:p w14:paraId="3E98086F" w14:textId="77777777" w:rsidR="00021B6D" w:rsidRPr="00021B6D" w:rsidRDefault="00021B6D" w:rsidP="00021B6D">
      <w:pPr>
        <w:rPr>
          <w:highlight w:val="yellow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916" w14:paraId="6D1372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A43A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7CE565" w14:textId="77777777" w:rsidR="00487916" w:rsidRDefault="00EC49A6">
            <w:pPr>
              <w:spacing w:after="60"/>
            </w:pPr>
            <w:r>
              <w:rPr>
                <w:b/>
                <w:bCs/>
                <w:color w:val="1B3A6B"/>
                <w:sz w:val="19"/>
                <w:szCs w:val="19"/>
              </w:rPr>
              <w:t>Reference: Joint Commission National Performance Goal 12</w:t>
            </w:r>
          </w:p>
          <w:p w14:paraId="53793C84" w14:textId="77777777" w:rsidR="00487916" w:rsidRDefault="00EC49A6">
            <w:r>
              <w:rPr>
                <w:color w:val="555555"/>
                <w:sz w:val="18"/>
                <w:szCs w:val="18"/>
              </w:rPr>
              <w:t>NPG 12 effective January 1, 2026. Source: The Joint Commission, National Performance Goals — Health Professional Resource Management. For accreditation information: www.jointcommission.org   |   For AHVAP conference information: www.ahvap.org</w:t>
            </w:r>
          </w:p>
        </w:tc>
      </w:tr>
    </w:tbl>
    <w:p w14:paraId="1E144EA9" w14:textId="77777777" w:rsidR="00EC49A6" w:rsidRDefault="00EC49A6"/>
    <w:sectPr w:rsidR="00EC49A6">
      <w:pgSz w:w="12240" w:h="15840"/>
      <w:pgMar w:top="108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9D"/>
    <w:multiLevelType w:val="hybridMultilevel"/>
    <w:tmpl w:val="88CEE4F4"/>
    <w:lvl w:ilvl="0" w:tplc="FBFC93F2">
      <w:start w:val="1"/>
      <w:numFmt w:val="bullet"/>
      <w:lvlText w:val="•"/>
      <w:lvlJc w:val="left"/>
      <w:pPr>
        <w:ind w:left="720" w:hanging="360"/>
      </w:pPr>
    </w:lvl>
    <w:lvl w:ilvl="1" w:tplc="1974FBC8">
      <w:numFmt w:val="decimal"/>
      <w:lvlText w:val=""/>
      <w:lvlJc w:val="left"/>
    </w:lvl>
    <w:lvl w:ilvl="2" w:tplc="BE18529C">
      <w:numFmt w:val="decimal"/>
      <w:lvlText w:val=""/>
      <w:lvlJc w:val="left"/>
    </w:lvl>
    <w:lvl w:ilvl="3" w:tplc="C35C4180">
      <w:numFmt w:val="decimal"/>
      <w:lvlText w:val=""/>
      <w:lvlJc w:val="left"/>
    </w:lvl>
    <w:lvl w:ilvl="4" w:tplc="3ADEA184">
      <w:numFmt w:val="decimal"/>
      <w:lvlText w:val=""/>
      <w:lvlJc w:val="left"/>
    </w:lvl>
    <w:lvl w:ilvl="5" w:tplc="D9066872">
      <w:numFmt w:val="decimal"/>
      <w:lvlText w:val=""/>
      <w:lvlJc w:val="left"/>
    </w:lvl>
    <w:lvl w:ilvl="6" w:tplc="62F497F0">
      <w:numFmt w:val="decimal"/>
      <w:lvlText w:val=""/>
      <w:lvlJc w:val="left"/>
    </w:lvl>
    <w:lvl w:ilvl="7" w:tplc="779617E0">
      <w:numFmt w:val="decimal"/>
      <w:lvlText w:val=""/>
      <w:lvlJc w:val="left"/>
    </w:lvl>
    <w:lvl w:ilvl="8" w:tplc="62B89110">
      <w:numFmt w:val="decimal"/>
      <w:lvlText w:val=""/>
      <w:lvlJc w:val="left"/>
    </w:lvl>
  </w:abstractNum>
  <w:abstractNum w:abstractNumId="1" w15:restartNumberingAfterBreak="0">
    <w:nsid w:val="3CBD53D6"/>
    <w:multiLevelType w:val="hybridMultilevel"/>
    <w:tmpl w:val="E3E8DEA2"/>
    <w:lvl w:ilvl="0" w:tplc="95AA2464">
      <w:start w:val="1"/>
      <w:numFmt w:val="decimal"/>
      <w:lvlText w:val="%1."/>
      <w:lvlJc w:val="left"/>
      <w:pPr>
        <w:ind w:left="720" w:hanging="360"/>
      </w:pPr>
    </w:lvl>
    <w:lvl w:ilvl="1" w:tplc="688E6C4A">
      <w:numFmt w:val="decimal"/>
      <w:lvlText w:val=""/>
      <w:lvlJc w:val="left"/>
    </w:lvl>
    <w:lvl w:ilvl="2" w:tplc="E6B8AC32">
      <w:numFmt w:val="decimal"/>
      <w:lvlText w:val=""/>
      <w:lvlJc w:val="left"/>
    </w:lvl>
    <w:lvl w:ilvl="3" w:tplc="A956E444">
      <w:numFmt w:val="decimal"/>
      <w:lvlText w:val=""/>
      <w:lvlJc w:val="left"/>
    </w:lvl>
    <w:lvl w:ilvl="4" w:tplc="B34AAF78">
      <w:numFmt w:val="decimal"/>
      <w:lvlText w:val=""/>
      <w:lvlJc w:val="left"/>
    </w:lvl>
    <w:lvl w:ilvl="5" w:tplc="11D212D6">
      <w:numFmt w:val="decimal"/>
      <w:lvlText w:val=""/>
      <w:lvlJc w:val="left"/>
    </w:lvl>
    <w:lvl w:ilvl="6" w:tplc="E250DB5A">
      <w:numFmt w:val="decimal"/>
      <w:lvlText w:val=""/>
      <w:lvlJc w:val="left"/>
    </w:lvl>
    <w:lvl w:ilvl="7" w:tplc="BFB065B2">
      <w:numFmt w:val="decimal"/>
      <w:lvlText w:val=""/>
      <w:lvlJc w:val="left"/>
    </w:lvl>
    <w:lvl w:ilvl="8" w:tplc="CBCA841A">
      <w:numFmt w:val="decimal"/>
      <w:lvlText w:val=""/>
      <w:lvlJc w:val="left"/>
    </w:lvl>
  </w:abstractNum>
  <w:abstractNum w:abstractNumId="2" w15:restartNumberingAfterBreak="0">
    <w:nsid w:val="4C6E6318"/>
    <w:multiLevelType w:val="hybridMultilevel"/>
    <w:tmpl w:val="C00AF76E"/>
    <w:lvl w:ilvl="0" w:tplc="D0F2861C">
      <w:start w:val="1"/>
      <w:numFmt w:val="bullet"/>
      <w:lvlText w:val="●"/>
      <w:lvlJc w:val="left"/>
      <w:pPr>
        <w:ind w:left="720" w:hanging="360"/>
      </w:pPr>
    </w:lvl>
    <w:lvl w:ilvl="1" w:tplc="6A5CE24E">
      <w:start w:val="1"/>
      <w:numFmt w:val="bullet"/>
      <w:lvlText w:val="○"/>
      <w:lvlJc w:val="left"/>
      <w:pPr>
        <w:ind w:left="1440" w:hanging="360"/>
      </w:pPr>
    </w:lvl>
    <w:lvl w:ilvl="2" w:tplc="6D9C5832">
      <w:start w:val="1"/>
      <w:numFmt w:val="bullet"/>
      <w:lvlText w:val="■"/>
      <w:lvlJc w:val="left"/>
      <w:pPr>
        <w:ind w:left="2160" w:hanging="360"/>
      </w:pPr>
    </w:lvl>
    <w:lvl w:ilvl="3" w:tplc="0DB091E4">
      <w:start w:val="1"/>
      <w:numFmt w:val="bullet"/>
      <w:lvlText w:val="●"/>
      <w:lvlJc w:val="left"/>
      <w:pPr>
        <w:ind w:left="2880" w:hanging="360"/>
      </w:pPr>
    </w:lvl>
    <w:lvl w:ilvl="4" w:tplc="7360857A">
      <w:start w:val="1"/>
      <w:numFmt w:val="bullet"/>
      <w:lvlText w:val="○"/>
      <w:lvlJc w:val="left"/>
      <w:pPr>
        <w:ind w:left="3600" w:hanging="360"/>
      </w:pPr>
    </w:lvl>
    <w:lvl w:ilvl="5" w:tplc="1040CD72">
      <w:start w:val="1"/>
      <w:numFmt w:val="bullet"/>
      <w:lvlText w:val="■"/>
      <w:lvlJc w:val="left"/>
      <w:pPr>
        <w:ind w:left="4320" w:hanging="360"/>
      </w:pPr>
    </w:lvl>
    <w:lvl w:ilvl="6" w:tplc="18A840F2">
      <w:start w:val="1"/>
      <w:numFmt w:val="bullet"/>
      <w:lvlText w:val="●"/>
      <w:lvlJc w:val="left"/>
      <w:pPr>
        <w:ind w:left="5040" w:hanging="360"/>
      </w:pPr>
    </w:lvl>
    <w:lvl w:ilvl="7" w:tplc="DA0CC074">
      <w:start w:val="1"/>
      <w:numFmt w:val="bullet"/>
      <w:lvlText w:val="●"/>
      <w:lvlJc w:val="left"/>
      <w:pPr>
        <w:ind w:left="5760" w:hanging="360"/>
      </w:pPr>
    </w:lvl>
    <w:lvl w:ilvl="8" w:tplc="B8BC7A40">
      <w:start w:val="1"/>
      <w:numFmt w:val="bullet"/>
      <w:lvlText w:val="●"/>
      <w:lvlJc w:val="left"/>
      <w:pPr>
        <w:ind w:left="6480" w:hanging="360"/>
      </w:pPr>
    </w:lvl>
  </w:abstractNum>
  <w:num w:numId="1" w16cid:durableId="1398747888">
    <w:abstractNumId w:val="2"/>
    <w:lvlOverride w:ilvl="0">
      <w:startOverride w:val="1"/>
    </w:lvlOverride>
  </w:num>
  <w:num w:numId="2" w16cid:durableId="326325949">
    <w:abstractNumId w:val="0"/>
    <w:lvlOverride w:ilvl="0">
      <w:startOverride w:val="1"/>
    </w:lvlOverride>
  </w:num>
  <w:num w:numId="3" w16cid:durableId="8045912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16"/>
    <w:rsid w:val="00021B6D"/>
    <w:rsid w:val="00487916"/>
    <w:rsid w:val="00C57C6E"/>
    <w:rsid w:val="00E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B5C66"/>
  <w15:docId w15:val="{A58E62A9-FABD-B546-88A4-DB720DB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1B3A6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1244</Words>
  <Characters>8141</Characters>
  <Application>Microsoft Office Word</Application>
  <DocSecurity>0</DocSecurity>
  <Lines>185</Lines>
  <Paragraphs>106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Dr. Hudson Garrett Jr.</cp:lastModifiedBy>
  <cp:revision>2</cp:revision>
  <dcterms:created xsi:type="dcterms:W3CDTF">2026-04-09T13:14:00Z</dcterms:created>
  <dcterms:modified xsi:type="dcterms:W3CDTF">2026-04-09T13:14:00Z</dcterms:modified>
</cp:coreProperties>
</file>